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91" w:rsidRDefault="001E3529">
      <w:pPr>
        <w:pStyle w:val="BodyText"/>
      </w:pPr>
      <w:r>
        <w:rPr>
          <w:color w:val="406E6F"/>
          <w:shd w:val="clear" w:color="auto" w:fill="F5C05B"/>
          <w:lang w:val="bg-BG"/>
        </w:rPr>
        <w:t>УПРАЖНЕНИЕ</w:t>
      </w:r>
      <w:r>
        <w:rPr>
          <w:color w:val="406E6F"/>
          <w:lang w:val="bg-BG"/>
        </w:rPr>
        <w:t xml:space="preserve"> С колко на тази страница сте запознати</w:t>
      </w:r>
      <w:r w:rsidR="00140C94">
        <w:rPr>
          <w:color w:val="406E6F"/>
          <w:spacing w:val="-2"/>
        </w:rPr>
        <w:t>?</w:t>
      </w:r>
    </w:p>
    <w:tbl>
      <w:tblPr>
        <w:tblW w:w="0" w:type="auto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5797"/>
      </w:tblGrid>
      <w:tr w:rsidR="00882F91" w:rsidTr="001E3529">
        <w:trPr>
          <w:trHeight w:val="571"/>
        </w:trPr>
        <w:tc>
          <w:tcPr>
            <w:tcW w:w="3402" w:type="dxa"/>
            <w:tcBorders>
              <w:bottom w:val="nil"/>
            </w:tcBorders>
            <w:shd w:val="clear" w:color="auto" w:fill="F5C05B"/>
          </w:tcPr>
          <w:p w:rsidR="00882F91" w:rsidRDefault="001E3529" w:rsidP="001E3529">
            <w:pPr>
              <w:pStyle w:val="TableParagraph"/>
              <w:spacing w:before="73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  <w:lang w:val="bg-BG"/>
              </w:rPr>
              <w:t>Научна дисциплина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5C05B"/>
          </w:tcPr>
          <w:p w:rsidR="00882F91" w:rsidRDefault="00667961">
            <w:pPr>
              <w:pStyle w:val="TableParagraph"/>
              <w:spacing w:before="0" w:line="31" w:lineRule="exact"/>
              <w:ind w:left="14321"/>
              <w:rPr>
                <w:sz w:val="3"/>
              </w:rPr>
            </w:pPr>
            <w:r>
              <w:rPr>
                <w:noProof/>
                <w:sz w:val="3"/>
                <w:lang w:val="bg-BG" w:eastAsia="bg-BG"/>
              </w:rPr>
              <mc:AlternateContent>
                <mc:Choice Requires="wpg">
                  <w:drawing>
                    <wp:inline distT="0" distB="0" distL="0" distR="0">
                      <wp:extent cx="858520" cy="20320"/>
                      <wp:effectExtent l="1905" t="3810" r="0" b="4445"/>
                      <wp:docPr id="1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20320"/>
                                <a:chOff x="0" y="0"/>
                                <a:chExt cx="1352" cy="32"/>
                              </a:xfrm>
                            </wpg:grpSpPr>
                            <wps:wsp>
                              <wps:cNvPr id="2" name="docshape2">
                                <a:hlinkClick r:id="rId4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87376" id="docshapegroup1" o:spid="_x0000_s1026" style="width:67.6pt;height:1.6pt;mso-position-horizontal-relative:char;mso-position-vertical-relative:line" coordsize="13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">
                      <v:rect id="docshape2" o:spid="_x0000_s1027" href="https://onlinelibrary.wiley.com/doi/full/10.1111/j.1541-4337.2010.00127.x" style="position:absolute;width:135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ZJcQA&#10;AADaAAAADwAAAGRycy9kb3ducmV2LnhtbESPQWvCQBSE74X+h+UJvdWNsZYQ3QQrtEpPVgWvj+wz&#10;CWbfhuxq0v56tyB4HGbmG2aRD6YRV+pcbVnBZByBIC6srrlUcNh/viYgnEfW2FgmBb/kIM+enxaY&#10;atvzD113vhQBwi5FBZX3bSqlKyoy6Ma2JQ7eyXYGfZBdKXWHfYCbRsZR9C4N1hwWKmxpVVFx3l2M&#10;grXrZ+XH+m86Lb6O38s42UbJ21apl9GwnIPwNPhH+N7eaAUx/F8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WSXEAAAA2gAAAA8AAAAAAAAAAAAAAAAAmAIAAGRycy9k&#10;b3ducmV2LnhtbFBLBQYAAAAABAAEAPUAAACJAwAAAAA=&#10;" o:button="t" stroked="f">
                        <v:fill o:detectmouseclick="t"/>
                      </v:rect>
                      <w10:anchorlock/>
                    </v:group>
                  </w:pict>
                </mc:Fallback>
              </mc:AlternateContent>
            </w:r>
          </w:p>
          <w:p w:rsidR="00882F91" w:rsidRDefault="001E3529" w:rsidP="001E3529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color w:val="FFFFFF"/>
                <w:spacing w:val="-4"/>
                <w:sz w:val="36"/>
                <w:lang w:val="bg-BG"/>
              </w:rPr>
              <w:t>Храна</w:t>
            </w:r>
          </w:p>
        </w:tc>
      </w:tr>
      <w:tr w:rsidR="00882F91" w:rsidTr="00140C94">
        <w:trPr>
          <w:trHeight w:val="88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E3529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Клетъчна биология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E3529" w:rsidP="00140C94">
            <w:pPr>
              <w:pStyle w:val="TableParagraph"/>
              <w:spacing w:before="0"/>
              <w:ind w:right="268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Разбиране на физиологията на растенията след прибиране на реколтата, качеството на храната, контрола на болестите по растенията, микробна физиология; безопасност на храните</w:t>
            </w:r>
          </w:p>
        </w:tc>
      </w:tr>
      <w:tr w:rsidR="00882F91" w:rsidTr="00140C94">
        <w:trPr>
          <w:trHeight w:val="841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E3529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r w:rsidRPr="00140C94">
              <w:rPr>
                <w:color w:val="406E6F"/>
                <w:spacing w:val="-2"/>
                <w:sz w:val="36"/>
                <w:szCs w:val="36"/>
                <w:lang w:val="bg-BG"/>
              </w:rPr>
              <w:t>Биотехнология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E3529" w:rsidP="00140C94">
            <w:pPr>
              <w:pStyle w:val="TableParagraph"/>
              <w:spacing w:before="0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Създаване на култури с по-добро съдържание на витамини; ензими за производство на сирена, хляб и производство но плодови сокове</w:t>
            </w:r>
          </w:p>
        </w:tc>
      </w:tr>
      <w:tr w:rsidR="00882F91" w:rsidTr="00140C94">
        <w:trPr>
          <w:trHeight w:val="57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E3529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r w:rsidRPr="00140C94">
              <w:rPr>
                <w:color w:val="406E6F"/>
                <w:spacing w:val="-2"/>
                <w:sz w:val="36"/>
                <w:szCs w:val="36"/>
                <w:lang w:val="bg-BG"/>
              </w:rPr>
              <w:t>Химия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E3529" w:rsidP="00140C94">
            <w:pPr>
              <w:pStyle w:val="TableParagraph"/>
              <w:spacing w:before="0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Роля за внедряване на много от горните приложения; удължен срок на годност; Анализ на храните</w:t>
            </w:r>
          </w:p>
        </w:tc>
      </w:tr>
      <w:tr w:rsidR="00882F91" w:rsidTr="00140C94">
        <w:trPr>
          <w:trHeight w:val="56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E3529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Компютърни науки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E3529" w:rsidP="00140C94">
            <w:pPr>
              <w:pStyle w:val="TableParagraph"/>
              <w:spacing w:before="0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Анализ на данни, управление на процесите</w:t>
            </w:r>
          </w:p>
        </w:tc>
      </w:tr>
      <w:tr w:rsidR="00882F91" w:rsidTr="00140C94">
        <w:trPr>
          <w:trHeight w:val="8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667961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proofErr w:type="spellStart"/>
            <w:r w:rsidRPr="00140C94">
              <w:rPr>
                <w:color w:val="406E6F"/>
                <w:spacing w:val="-2"/>
                <w:sz w:val="36"/>
                <w:szCs w:val="36"/>
                <w:lang w:val="bg-BG"/>
              </w:rPr>
              <w:t>Геномика</w:t>
            </w:r>
            <w:proofErr w:type="spellEnd"/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D82BAD" w:rsidP="00140C94">
            <w:pPr>
              <w:pStyle w:val="TableParagraph"/>
              <w:spacing w:before="0"/>
              <w:ind w:right="268"/>
              <w:rPr>
                <w:sz w:val="36"/>
                <w:szCs w:val="36"/>
              </w:rPr>
            </w:pPr>
            <w:proofErr w:type="spellStart"/>
            <w:r w:rsidRPr="00140C94">
              <w:rPr>
                <w:color w:val="406E6F"/>
                <w:sz w:val="36"/>
                <w:szCs w:val="36"/>
              </w:rPr>
              <w:t>Разбиране</w:t>
            </w:r>
            <w:proofErr w:type="spellEnd"/>
            <w:r w:rsidRPr="00140C94">
              <w:rPr>
                <w:color w:val="406E6F"/>
                <w:sz w:val="36"/>
                <w:szCs w:val="36"/>
              </w:rPr>
              <w:t xml:space="preserve"> </w:t>
            </w:r>
            <w:proofErr w:type="spellStart"/>
            <w:r w:rsidRPr="00140C94">
              <w:rPr>
                <w:color w:val="406E6F"/>
                <w:sz w:val="36"/>
                <w:szCs w:val="36"/>
              </w:rPr>
              <w:t>характеристиката</w:t>
            </w:r>
            <w:proofErr w:type="spellEnd"/>
            <w:r w:rsidRPr="00140C94">
              <w:rPr>
                <w:color w:val="406E6F"/>
                <w:sz w:val="36"/>
                <w:szCs w:val="36"/>
              </w:rPr>
              <w:t xml:space="preserve"> </w:t>
            </w:r>
            <w:proofErr w:type="spellStart"/>
            <w:r w:rsidRPr="00140C94">
              <w:rPr>
                <w:color w:val="406E6F"/>
                <w:sz w:val="36"/>
                <w:szCs w:val="36"/>
              </w:rPr>
              <w:t>на</w:t>
            </w:r>
            <w:proofErr w:type="spellEnd"/>
            <w:r w:rsidRPr="00140C94">
              <w:rPr>
                <w:color w:val="406E6F"/>
                <w:sz w:val="36"/>
                <w:szCs w:val="36"/>
              </w:rPr>
              <w:t xml:space="preserve"> </w:t>
            </w:r>
            <w:proofErr w:type="spellStart"/>
            <w:r w:rsidRPr="00140C94">
              <w:rPr>
                <w:color w:val="406E6F"/>
                <w:sz w:val="36"/>
                <w:szCs w:val="36"/>
              </w:rPr>
              <w:t>растенията</w:t>
            </w:r>
            <w:proofErr w:type="spellEnd"/>
            <w:r w:rsidRPr="00140C94">
              <w:rPr>
                <w:color w:val="406E6F"/>
                <w:sz w:val="36"/>
                <w:szCs w:val="36"/>
              </w:rPr>
              <w:t xml:space="preserve"> и </w:t>
            </w:r>
            <w:proofErr w:type="spellStart"/>
            <w:r w:rsidRPr="00140C94">
              <w:rPr>
                <w:color w:val="406E6F"/>
                <w:sz w:val="36"/>
                <w:szCs w:val="36"/>
              </w:rPr>
              <w:t>животните</w:t>
            </w:r>
            <w:proofErr w:type="spellEnd"/>
            <w:r w:rsidRPr="00140C94">
              <w:rPr>
                <w:color w:val="406E6F"/>
                <w:sz w:val="36"/>
                <w:szCs w:val="36"/>
              </w:rPr>
              <w:t xml:space="preserve">; </w:t>
            </w:r>
            <w:proofErr w:type="spellStart"/>
            <w:r w:rsidRPr="00140C94">
              <w:rPr>
                <w:color w:val="406E6F"/>
                <w:sz w:val="36"/>
                <w:szCs w:val="36"/>
              </w:rPr>
              <w:t>подобрен</w:t>
            </w:r>
            <w:proofErr w:type="spellEnd"/>
            <w:r w:rsidRPr="00140C94">
              <w:rPr>
                <w:color w:val="406E6F"/>
                <w:sz w:val="36"/>
                <w:szCs w:val="36"/>
              </w:rPr>
              <w:t xml:space="preserve"> </w:t>
            </w:r>
            <w:proofErr w:type="spellStart"/>
            <w:r w:rsidRPr="00140C94">
              <w:rPr>
                <w:color w:val="406E6F"/>
                <w:sz w:val="36"/>
                <w:szCs w:val="36"/>
              </w:rPr>
              <w:t>контрол</w:t>
            </w:r>
            <w:proofErr w:type="spellEnd"/>
            <w:r w:rsidRPr="00140C94">
              <w:rPr>
                <w:color w:val="406E6F"/>
                <w:sz w:val="36"/>
                <w:szCs w:val="36"/>
              </w:rPr>
              <w:t xml:space="preserve"> </w:t>
            </w:r>
            <w:proofErr w:type="spellStart"/>
            <w:r w:rsidRPr="00140C94">
              <w:rPr>
                <w:color w:val="406E6F"/>
                <w:sz w:val="36"/>
                <w:szCs w:val="36"/>
              </w:rPr>
              <w:t>на</w:t>
            </w:r>
            <w:proofErr w:type="spellEnd"/>
            <w:r w:rsidRPr="00140C94">
              <w:rPr>
                <w:color w:val="406E6F"/>
                <w:sz w:val="36"/>
                <w:szCs w:val="36"/>
              </w:rPr>
              <w:t xml:space="preserve"> </w:t>
            </w:r>
            <w:proofErr w:type="spellStart"/>
            <w:r w:rsidRPr="00140C94">
              <w:rPr>
                <w:color w:val="406E6F"/>
                <w:sz w:val="36"/>
                <w:szCs w:val="36"/>
              </w:rPr>
              <w:t>желаните</w:t>
            </w:r>
            <w:proofErr w:type="spellEnd"/>
            <w:r w:rsidRPr="00140C94">
              <w:rPr>
                <w:color w:val="406E6F"/>
                <w:sz w:val="36"/>
                <w:szCs w:val="36"/>
              </w:rPr>
              <w:t xml:space="preserve"> </w:t>
            </w:r>
            <w:proofErr w:type="spellStart"/>
            <w:r w:rsidRPr="00140C94">
              <w:rPr>
                <w:color w:val="406E6F"/>
                <w:sz w:val="36"/>
                <w:szCs w:val="36"/>
              </w:rPr>
              <w:t>атрибути</w:t>
            </w:r>
            <w:proofErr w:type="spellEnd"/>
            <w:r w:rsidRPr="00140C94">
              <w:rPr>
                <w:color w:val="406E6F"/>
                <w:sz w:val="36"/>
                <w:szCs w:val="36"/>
                <w:lang w:val="bg-BG"/>
              </w:rPr>
              <w:t xml:space="preserve">, бързо откриване и идентифициране на </w:t>
            </w:r>
            <w:proofErr w:type="spellStart"/>
            <w:r w:rsidRPr="00140C94">
              <w:rPr>
                <w:color w:val="406E6F"/>
                <w:sz w:val="36"/>
                <w:szCs w:val="36"/>
                <w:lang w:val="bg-BG"/>
              </w:rPr>
              <w:t>патогени</w:t>
            </w:r>
            <w:proofErr w:type="spellEnd"/>
            <w:r w:rsidRPr="00140C94">
              <w:rPr>
                <w:color w:val="406E6F"/>
                <w:sz w:val="36"/>
                <w:szCs w:val="36"/>
                <w:lang w:val="bg-BG"/>
              </w:rPr>
              <w:t xml:space="preserve"> </w:t>
            </w:r>
          </w:p>
        </w:tc>
      </w:tr>
      <w:tr w:rsidR="00882F91" w:rsidTr="001E3529">
        <w:trPr>
          <w:trHeight w:val="67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D82BAD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Материалознание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D82BAD" w:rsidP="00140C94">
            <w:pPr>
              <w:pStyle w:val="TableParagraph"/>
              <w:spacing w:before="0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 xml:space="preserve">Ефективна опаковка; разбиране на това как материалните свойства на храната допринасят за текстурата и вкуса </w:t>
            </w:r>
          </w:p>
        </w:tc>
      </w:tr>
      <w:tr w:rsidR="00882F91" w:rsidTr="00140C94">
        <w:trPr>
          <w:trHeight w:val="868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D82BAD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r w:rsidRPr="00140C94">
              <w:rPr>
                <w:color w:val="406E6F"/>
                <w:spacing w:val="-2"/>
                <w:sz w:val="36"/>
                <w:szCs w:val="36"/>
                <w:lang w:val="bg-BG"/>
              </w:rPr>
              <w:t>Микробиология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D82BAD" w:rsidP="00140C94">
            <w:pPr>
              <w:pStyle w:val="TableParagraph"/>
              <w:spacing w:before="0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Разбиране на функциите на бактериите</w:t>
            </w:r>
            <w:r w:rsidR="00140C94" w:rsidRPr="00140C94">
              <w:rPr>
                <w:color w:val="406E6F"/>
                <w:spacing w:val="-1"/>
                <w:sz w:val="36"/>
                <w:szCs w:val="36"/>
              </w:rPr>
              <w:t xml:space="preserve"> </w:t>
            </w:r>
            <w:r w:rsidR="00140C94" w:rsidRPr="00140C94">
              <w:rPr>
                <w:color w:val="406E6F"/>
                <w:sz w:val="36"/>
                <w:szCs w:val="36"/>
              </w:rPr>
              <w:t>(</w:t>
            </w:r>
            <w:r w:rsidRPr="00140C94">
              <w:rPr>
                <w:color w:val="406E6F"/>
                <w:sz w:val="36"/>
                <w:szCs w:val="36"/>
                <w:lang w:val="bg-BG"/>
              </w:rPr>
              <w:t>полезни, развалящи и причиняващи болести</w:t>
            </w:r>
            <w:r w:rsidR="00140C94" w:rsidRPr="00140C94">
              <w:rPr>
                <w:color w:val="406E6F"/>
                <w:sz w:val="36"/>
                <w:szCs w:val="36"/>
              </w:rPr>
              <w:t>),</w:t>
            </w:r>
            <w:r w:rsidRPr="00140C94">
              <w:rPr>
                <w:color w:val="406E6F"/>
                <w:sz w:val="36"/>
                <w:szCs w:val="36"/>
                <w:lang w:val="bg-BG"/>
              </w:rPr>
              <w:t xml:space="preserve"> паразити, гъбички и вируси и подобрения за тяхното откриване</w:t>
            </w:r>
          </w:p>
        </w:tc>
      </w:tr>
      <w:tr w:rsidR="00882F91" w:rsidTr="001E3529">
        <w:trPr>
          <w:trHeight w:val="67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D82BAD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r w:rsidRPr="00140C94">
              <w:rPr>
                <w:color w:val="406E6F"/>
                <w:spacing w:val="-2"/>
                <w:sz w:val="36"/>
                <w:szCs w:val="36"/>
                <w:lang w:val="bg-BG"/>
              </w:rPr>
              <w:t>Хранене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D82BAD" w:rsidP="00140C94">
            <w:pPr>
              <w:pStyle w:val="TableParagraph"/>
              <w:spacing w:before="0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Подсилени храни с витамини и минерали, както и разработване на диети, които отговарят на нуждите на индивида</w:t>
            </w:r>
          </w:p>
        </w:tc>
      </w:tr>
      <w:tr w:rsidR="00882F91" w:rsidTr="00140C94">
        <w:trPr>
          <w:trHeight w:val="452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D82BAD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Наука за сетивата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D82BAD" w:rsidP="00140C94">
            <w:pPr>
              <w:pStyle w:val="TableParagraph"/>
              <w:spacing w:before="0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 xml:space="preserve">Разбиране за </w:t>
            </w:r>
            <w:proofErr w:type="spellStart"/>
            <w:r w:rsidRPr="00140C94">
              <w:rPr>
                <w:color w:val="406E6F"/>
                <w:sz w:val="36"/>
                <w:szCs w:val="36"/>
                <w:lang w:val="bg-BG"/>
              </w:rPr>
              <w:t>химиосетивата</w:t>
            </w:r>
            <w:proofErr w:type="spellEnd"/>
            <w:r w:rsidR="00140C94" w:rsidRPr="00140C94">
              <w:rPr>
                <w:color w:val="406E6F"/>
                <w:spacing w:val="-9"/>
                <w:sz w:val="36"/>
                <w:szCs w:val="36"/>
              </w:rPr>
              <w:t xml:space="preserve"> </w:t>
            </w:r>
            <w:r w:rsidR="00140C94" w:rsidRPr="00140C94">
              <w:rPr>
                <w:color w:val="406E6F"/>
                <w:sz w:val="36"/>
                <w:szCs w:val="36"/>
              </w:rPr>
              <w:t>(</w:t>
            </w:r>
            <w:r w:rsidRPr="00140C94">
              <w:rPr>
                <w:color w:val="406E6F"/>
                <w:sz w:val="36"/>
                <w:szCs w:val="36"/>
                <w:lang w:val="bg-BG"/>
              </w:rPr>
              <w:t>вкус и мирис</w:t>
            </w:r>
            <w:r w:rsidR="00140C94" w:rsidRPr="00140C94">
              <w:rPr>
                <w:color w:val="406E6F"/>
                <w:sz w:val="36"/>
                <w:szCs w:val="36"/>
              </w:rPr>
              <w:t>)</w:t>
            </w:r>
            <w:r w:rsidRPr="00140C94">
              <w:rPr>
                <w:color w:val="406E6F"/>
                <w:sz w:val="36"/>
                <w:szCs w:val="36"/>
                <w:lang w:val="bg-BG"/>
              </w:rPr>
              <w:t xml:space="preserve"> </w:t>
            </w:r>
            <w:r w:rsidR="00140C94" w:rsidRPr="00140C94">
              <w:rPr>
                <w:color w:val="406E6F"/>
                <w:sz w:val="36"/>
                <w:szCs w:val="36"/>
                <w:lang w:val="bg-BG"/>
              </w:rPr>
              <w:t xml:space="preserve">за задоволяване различни вкусови нужди и предпочитания </w:t>
            </w:r>
          </w:p>
        </w:tc>
      </w:tr>
      <w:tr w:rsidR="00882F91" w:rsidTr="00140C94">
        <w:trPr>
          <w:trHeight w:val="43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40C94" w:rsidP="00140C94">
            <w:pPr>
              <w:pStyle w:val="TableParagraph"/>
              <w:spacing w:before="0"/>
              <w:ind w:left="136"/>
              <w:rPr>
                <w:sz w:val="36"/>
                <w:szCs w:val="36"/>
              </w:rPr>
            </w:pPr>
            <w:proofErr w:type="spellStart"/>
            <w:r w:rsidRPr="00140C94">
              <w:rPr>
                <w:color w:val="406E6F"/>
                <w:spacing w:val="-2"/>
                <w:sz w:val="36"/>
                <w:szCs w:val="36"/>
              </w:rPr>
              <w:t>Токсикология</w:t>
            </w:r>
            <w:proofErr w:type="spellEnd"/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40C94" w:rsidP="00140C94">
            <w:pPr>
              <w:pStyle w:val="TableParagraph"/>
              <w:spacing w:before="0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Оценка на безопасността на химични и микробиологични хранителни компоненти и добавки</w:t>
            </w:r>
          </w:p>
        </w:tc>
      </w:tr>
      <w:tr w:rsidR="00882F91" w:rsidTr="001E3529">
        <w:trPr>
          <w:trHeight w:val="109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40C94" w:rsidP="00140C94">
            <w:pPr>
              <w:pStyle w:val="TableParagraph"/>
              <w:spacing w:before="0"/>
              <w:ind w:left="136"/>
              <w:rPr>
                <w:sz w:val="35"/>
                <w:szCs w:val="35"/>
              </w:rPr>
            </w:pPr>
            <w:r w:rsidRPr="00140C94">
              <w:rPr>
                <w:color w:val="406E6F"/>
                <w:spacing w:val="-2"/>
                <w:sz w:val="35"/>
                <w:szCs w:val="35"/>
                <w:lang w:val="bg-BG"/>
              </w:rPr>
              <w:t>Физика</w:t>
            </w:r>
            <w:r w:rsidRPr="00140C94">
              <w:rPr>
                <w:color w:val="406E6F"/>
                <w:spacing w:val="-2"/>
                <w:sz w:val="35"/>
                <w:szCs w:val="35"/>
              </w:rPr>
              <w:t>/</w:t>
            </w:r>
            <w:r w:rsidRPr="00140C94">
              <w:rPr>
                <w:color w:val="406E6F"/>
                <w:spacing w:val="-2"/>
                <w:sz w:val="35"/>
                <w:szCs w:val="35"/>
                <w:lang w:val="bg-BG"/>
              </w:rPr>
              <w:t>Инженерство</w:t>
            </w:r>
          </w:p>
        </w:tc>
        <w:tc>
          <w:tcPr>
            <w:tcW w:w="15797" w:type="dxa"/>
            <w:tcBorders>
              <w:top w:val="nil"/>
              <w:bottom w:val="nil"/>
            </w:tcBorders>
            <w:shd w:val="clear" w:color="auto" w:fill="FBFAF7"/>
          </w:tcPr>
          <w:p w:rsidR="00882F91" w:rsidRPr="00140C94" w:rsidRDefault="00140C94" w:rsidP="00140C94">
            <w:pPr>
              <w:pStyle w:val="TableParagraph"/>
              <w:spacing w:before="0"/>
              <w:rPr>
                <w:sz w:val="36"/>
                <w:szCs w:val="36"/>
              </w:rPr>
            </w:pPr>
            <w:r w:rsidRPr="00140C94">
              <w:rPr>
                <w:color w:val="406E6F"/>
                <w:sz w:val="36"/>
                <w:szCs w:val="36"/>
                <w:lang w:val="bg-BG"/>
              </w:rPr>
              <w:t>Ефективни процеси за пр</w:t>
            </w:r>
            <w:bookmarkStart w:id="0" w:name="_GoBack"/>
            <w:bookmarkEnd w:id="0"/>
            <w:r w:rsidRPr="00140C94">
              <w:rPr>
                <w:color w:val="406E6F"/>
                <w:sz w:val="36"/>
                <w:szCs w:val="36"/>
                <w:lang w:val="bg-BG"/>
              </w:rPr>
              <w:t xml:space="preserve">оизводство на храни, които подобряват качествата на храните и гарантират безопасност на храните; контрол на замърсяването; опазване на околната среда, усилия за намаляване на отпадъците </w:t>
            </w:r>
          </w:p>
        </w:tc>
      </w:tr>
    </w:tbl>
    <w:p w:rsidR="00000000" w:rsidRDefault="00140C94" w:rsidP="00D82BAD"/>
    <w:sectPr w:rsidR="00000000" w:rsidSect="00140C94">
      <w:type w:val="continuous"/>
      <w:pgSz w:w="19200" w:h="10800" w:orient="landscape"/>
      <w:pgMar w:top="79" w:right="0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1"/>
    <w:rsid w:val="00140C94"/>
    <w:rsid w:val="001E3529"/>
    <w:rsid w:val="00667961"/>
    <w:rsid w:val="00882F91"/>
    <w:rsid w:val="00D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811CE6-FB78-48D1-904A-425A53F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 w:after="59"/>
      <w:ind w:left="4816" w:right="530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full/10.1111/j.1541-4337.2010.00127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3</cp:revision>
  <dcterms:created xsi:type="dcterms:W3CDTF">2022-01-11T07:57:00Z</dcterms:created>
  <dcterms:modified xsi:type="dcterms:W3CDTF">2022-01-11T08:16:00Z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2022-01-11T00:00:00Z</vt:filetime>
  </property>
</Properties>
</file>